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28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396"/>
      </w:tblGrid>
      <w:tr w:rsidR="00E86D12" w:rsidRPr="003C5F80" w14:paraId="4463964E" w14:textId="77777777" w:rsidTr="00E86D12">
        <w:trPr>
          <w:trHeight w:val="1266"/>
        </w:trPr>
        <w:tc>
          <w:tcPr>
            <w:tcW w:w="9628" w:type="dxa"/>
            <w:gridSpan w:val="3"/>
          </w:tcPr>
          <w:p w14:paraId="7B7934D2" w14:textId="07DD403C" w:rsidR="00E86D12" w:rsidRPr="003C5F80" w:rsidRDefault="00E86D12" w:rsidP="003C5F8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TÜRK </w:t>
            </w:r>
            <w:r w:rsidRPr="003C5F80">
              <w:rPr>
                <w:rFonts w:ascii="Times New Roman" w:hAnsi="Times New Roman"/>
                <w:b/>
                <w:sz w:val="22"/>
                <w:szCs w:val="22"/>
              </w:rPr>
              <w:t xml:space="preserve">HİSTOLOJİ VE EMBRİYOLOJİ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DERNEĞİ </w:t>
            </w:r>
            <w:r w:rsidRPr="003C5F80">
              <w:rPr>
                <w:rFonts w:ascii="Times New Roman" w:hAnsi="Times New Roman"/>
                <w:b/>
                <w:sz w:val="22"/>
                <w:szCs w:val="22"/>
              </w:rPr>
              <w:t>TIPTA UZMANLIK YETERLİK YÜRÜTME KURULU</w:t>
            </w:r>
          </w:p>
          <w:p w14:paraId="1C31FA7F" w14:textId="30C0159D" w:rsidR="00E86D12" w:rsidRPr="003C5F80" w:rsidRDefault="00E86D12" w:rsidP="003C5F8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5F80">
              <w:rPr>
                <w:rFonts w:ascii="Times New Roman" w:hAnsi="Times New Roman"/>
                <w:b/>
                <w:sz w:val="22"/>
                <w:szCs w:val="22"/>
              </w:rPr>
              <w:t>YENİDEN BELGELENDİRME (RESERTİFİKASYON) YÖNERGESİ</w:t>
            </w:r>
          </w:p>
        </w:tc>
      </w:tr>
      <w:tr w:rsidR="00E8051A" w:rsidRPr="003C5F80" w14:paraId="3591AC80" w14:textId="77777777" w:rsidTr="004502EF">
        <w:tc>
          <w:tcPr>
            <w:tcW w:w="3823" w:type="dxa"/>
          </w:tcPr>
          <w:p w14:paraId="3896A176" w14:textId="6ABB367D" w:rsidR="00E8051A" w:rsidRPr="003C5F80" w:rsidRDefault="00E8051A" w:rsidP="003C5F80">
            <w:pPr>
              <w:pStyle w:val="Balk4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C5F80">
              <w:rPr>
                <w:rFonts w:ascii="Times New Roman" w:hAnsi="Times New Roman"/>
                <w:sz w:val="22"/>
                <w:szCs w:val="22"/>
              </w:rPr>
              <w:t>Düzenlenme ve değişiklik tarihi ve kabulü</w:t>
            </w:r>
          </w:p>
        </w:tc>
        <w:tc>
          <w:tcPr>
            <w:tcW w:w="2409" w:type="dxa"/>
          </w:tcPr>
          <w:p w14:paraId="05BCFF31" w14:textId="77777777" w:rsidR="00E8051A" w:rsidRPr="003C5F80" w:rsidRDefault="00E8051A" w:rsidP="003C5F80">
            <w:pPr>
              <w:pStyle w:val="Balk4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C5F80">
              <w:rPr>
                <w:rFonts w:ascii="Times New Roman" w:hAnsi="Times New Roman"/>
                <w:sz w:val="22"/>
                <w:szCs w:val="22"/>
              </w:rPr>
              <w:t>Değişiklik No</w:t>
            </w:r>
          </w:p>
        </w:tc>
        <w:tc>
          <w:tcPr>
            <w:tcW w:w="3396" w:type="dxa"/>
          </w:tcPr>
          <w:p w14:paraId="3E96ADAD" w14:textId="77777777" w:rsidR="00E8051A" w:rsidRPr="003C5F80" w:rsidRDefault="00E8051A" w:rsidP="003C5F80">
            <w:pPr>
              <w:pStyle w:val="Balk4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C5F80">
              <w:rPr>
                <w:rFonts w:ascii="Times New Roman" w:hAnsi="Times New Roman"/>
                <w:sz w:val="22"/>
                <w:szCs w:val="22"/>
              </w:rPr>
              <w:t>Sayfa No</w:t>
            </w:r>
          </w:p>
        </w:tc>
      </w:tr>
      <w:tr w:rsidR="00E8051A" w:rsidRPr="003C5F80" w14:paraId="7C60BBF1" w14:textId="77777777" w:rsidTr="004D22B3">
        <w:tc>
          <w:tcPr>
            <w:tcW w:w="3823" w:type="dxa"/>
          </w:tcPr>
          <w:p w14:paraId="77EFBD39" w14:textId="6DBD3E08" w:rsidR="00E8051A" w:rsidRPr="003C5F80" w:rsidRDefault="00E8051A" w:rsidP="003C5F80">
            <w:pPr>
              <w:pStyle w:val="Balk4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C5F80">
              <w:rPr>
                <w:rFonts w:ascii="Times New Roman" w:hAnsi="Times New Roman"/>
                <w:b/>
                <w:sz w:val="22"/>
                <w:szCs w:val="22"/>
              </w:rPr>
              <w:t>08.04.2025</w:t>
            </w:r>
          </w:p>
          <w:p w14:paraId="2568995E" w14:textId="316C6B93" w:rsidR="00E8051A" w:rsidRPr="003C5F80" w:rsidRDefault="00E8051A" w:rsidP="003C5F8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C5F80">
              <w:rPr>
                <w:rFonts w:ascii="Times New Roman" w:hAnsi="Times New Roman"/>
                <w:sz w:val="22"/>
                <w:szCs w:val="22"/>
              </w:rPr>
              <w:t xml:space="preserve">Oy birliğiyle kabul edildi. </w:t>
            </w:r>
          </w:p>
        </w:tc>
        <w:tc>
          <w:tcPr>
            <w:tcW w:w="2409" w:type="dxa"/>
          </w:tcPr>
          <w:p w14:paraId="38D06CB6" w14:textId="6105DE8A" w:rsidR="00E8051A" w:rsidRPr="003C5F80" w:rsidRDefault="00E8051A" w:rsidP="003C5F80">
            <w:pPr>
              <w:pStyle w:val="Balk4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versiyon.</w:t>
            </w:r>
            <w:r w:rsidRPr="003C5F80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(v.2)</w:t>
            </w:r>
          </w:p>
        </w:tc>
        <w:tc>
          <w:tcPr>
            <w:tcW w:w="3396" w:type="dxa"/>
          </w:tcPr>
          <w:p w14:paraId="2EE7597C" w14:textId="03A80ABE" w:rsidR="00E8051A" w:rsidRPr="003C5F80" w:rsidRDefault="00E8051A" w:rsidP="003C5F80">
            <w:pPr>
              <w:pStyle w:val="Balk4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</w:tbl>
    <w:p w14:paraId="2616FAD9" w14:textId="77777777" w:rsidR="00AB6D86" w:rsidRPr="003C5F80" w:rsidRDefault="00AB6D86" w:rsidP="003C5F80">
      <w:pPr>
        <w:pStyle w:val="Balk4"/>
        <w:spacing w:line="276" w:lineRule="auto"/>
        <w:rPr>
          <w:rFonts w:ascii="Times New Roman" w:hAnsi="Times New Roman" w:cs="Times New Roman"/>
          <w:b/>
          <w:sz w:val="22"/>
        </w:rPr>
      </w:pPr>
    </w:p>
    <w:p w14:paraId="17400DA5" w14:textId="77777777" w:rsidR="00AB6D86" w:rsidRPr="003C5F80" w:rsidRDefault="00AB6D86" w:rsidP="003C5F80">
      <w:pPr>
        <w:spacing w:line="276" w:lineRule="auto"/>
        <w:rPr>
          <w:rFonts w:ascii="Times New Roman" w:hAnsi="Times New Roman" w:cs="Times New Roman"/>
          <w:color w:val="212529"/>
          <w:sz w:val="22"/>
          <w:lang w:eastAsia="tr-TR"/>
        </w:rPr>
      </w:pPr>
    </w:p>
    <w:p w14:paraId="04550065" w14:textId="77777777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Yeniden Belgelendirme</w:t>
      </w:r>
    </w:p>
    <w:p w14:paraId="545688E7" w14:textId="2ECDE101" w:rsidR="00D96F56" w:rsidRPr="003C5F80" w:rsidRDefault="00E24120" w:rsidP="003C5F80">
      <w:pPr>
        <w:spacing w:line="276" w:lineRule="auto"/>
        <w:rPr>
          <w:rFonts w:ascii="Times New Roman" w:hAnsi="Times New Roman" w:cs="Times New Roman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Tanım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: </w:t>
      </w:r>
      <w:r w:rsidR="00D96F56" w:rsidRPr="003C5F80">
        <w:rPr>
          <w:rFonts w:ascii="Times New Roman" w:hAnsi="Times New Roman" w:cs="Times New Roman"/>
          <w:sz w:val="22"/>
        </w:rPr>
        <w:t xml:space="preserve">Tıpta Uzmanlık Yeterlik Yürütme Kurulu </w:t>
      </w:r>
      <w:r w:rsidR="00D96F56" w:rsidRPr="003C5F80">
        <w:rPr>
          <w:rFonts w:ascii="Times New Roman" w:hAnsi="Times New Roman" w:cs="Times New Roman"/>
          <w:color w:val="000000"/>
          <w:sz w:val="22"/>
        </w:rPr>
        <w:t xml:space="preserve">(TUYYK) tarafından Yeterlik Belgesi verilen </w:t>
      </w:r>
      <w:r w:rsidR="00D96F56" w:rsidRPr="003C5F80">
        <w:rPr>
          <w:rFonts w:ascii="Times New Roman" w:hAnsi="Times New Roman" w:cs="Times New Roman"/>
          <w:sz w:val="22"/>
        </w:rPr>
        <w:t xml:space="preserve">Histoloji </w:t>
      </w:r>
      <w:r w:rsidR="008C66D8" w:rsidRPr="003C5F80">
        <w:rPr>
          <w:rFonts w:ascii="Times New Roman" w:hAnsi="Times New Roman" w:cs="Times New Roman"/>
          <w:sz w:val="22"/>
        </w:rPr>
        <w:t>v</w:t>
      </w:r>
      <w:r w:rsidR="00D96F56" w:rsidRPr="003C5F80">
        <w:rPr>
          <w:rFonts w:ascii="Times New Roman" w:hAnsi="Times New Roman" w:cs="Times New Roman"/>
          <w:sz w:val="22"/>
        </w:rPr>
        <w:t>e Embriyo</w:t>
      </w:r>
      <w:r w:rsidR="00D96F56" w:rsidRPr="003C5F80">
        <w:rPr>
          <w:rFonts w:ascii="Times New Roman" w:hAnsi="Times New Roman" w:cs="Times New Roman"/>
          <w:color w:val="000000"/>
          <w:sz w:val="22"/>
        </w:rPr>
        <w:t>loji Yeterlik Belgelerinin yenilenmesidir.</w:t>
      </w:r>
    </w:p>
    <w:p w14:paraId="3F3DAF72" w14:textId="77777777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3C80888C" w14:textId="77777777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BİRİNCİ BÖLÜM</w:t>
      </w:r>
    </w:p>
    <w:p w14:paraId="2A033E6C" w14:textId="5ABDAA34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 xml:space="preserve">Amaç ve </w:t>
      </w:r>
      <w:r w:rsidR="00E670F6" w:rsidRPr="003C5F80">
        <w:rPr>
          <w:rFonts w:ascii="Times New Roman" w:hAnsi="Times New Roman" w:cs="Times New Roman"/>
          <w:b/>
          <w:color w:val="000000"/>
          <w:sz w:val="22"/>
        </w:rPr>
        <w:t>Dayanak</w:t>
      </w:r>
    </w:p>
    <w:p w14:paraId="597E8DB9" w14:textId="665191E6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Amaç</w:t>
      </w:r>
      <w:r w:rsidR="00E670F6">
        <w:rPr>
          <w:rFonts w:ascii="Times New Roman" w:hAnsi="Times New Roman" w:cs="Times New Roman"/>
          <w:b/>
          <w:color w:val="000000"/>
          <w:sz w:val="22"/>
        </w:rPr>
        <w:t xml:space="preserve"> </w:t>
      </w:r>
    </w:p>
    <w:p w14:paraId="5ECD3BE5" w14:textId="77777777" w:rsidR="00C74B8B" w:rsidRPr="003C5F80" w:rsidRDefault="00C74B8B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670FDFE6" w14:textId="51DC2543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>Madde 1</w:t>
      </w:r>
      <w:r w:rsidR="00C74B8B" w:rsidRPr="003C5F80">
        <w:rPr>
          <w:rFonts w:ascii="Times New Roman" w:hAnsi="Times New Roman" w:cs="Times New Roman"/>
          <w:color w:val="000000"/>
          <w:sz w:val="22"/>
        </w:rPr>
        <w:t>.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Yaşam boyu öğrenmeyi ve sürekli mesleki gelişimi teşvik etmek, bilgi ve beceri düzeyini arttırmak amacıyla, </w:t>
      </w:r>
      <w:r w:rsidR="00E86D12">
        <w:rPr>
          <w:rFonts w:ascii="Times New Roman" w:hAnsi="Times New Roman" w:cs="Times New Roman"/>
          <w:color w:val="000000"/>
          <w:sz w:val="22"/>
        </w:rPr>
        <w:t xml:space="preserve">Türk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Histoloji ve Embriyoloji </w:t>
      </w:r>
      <w:r w:rsidR="00E86D12">
        <w:rPr>
          <w:rFonts w:ascii="Times New Roman" w:hAnsi="Times New Roman" w:cs="Times New Roman"/>
          <w:color w:val="000000"/>
          <w:sz w:val="22"/>
        </w:rPr>
        <w:t xml:space="preserve">Derneği </w:t>
      </w:r>
      <w:r w:rsidR="00CB440E" w:rsidRPr="003C5F80">
        <w:rPr>
          <w:rFonts w:ascii="Times New Roman" w:hAnsi="Times New Roman" w:cs="Times New Roman"/>
          <w:color w:val="000000"/>
          <w:sz w:val="22"/>
        </w:rPr>
        <w:t xml:space="preserve">Tıpta Uzmanlık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Yeterlik Yürütme Kurulu tarafından </w:t>
      </w:r>
      <w:r w:rsidR="00CB440E" w:rsidRPr="003C5F80">
        <w:rPr>
          <w:rFonts w:ascii="Times New Roman" w:hAnsi="Times New Roman" w:cs="Times New Roman"/>
          <w:color w:val="000000"/>
          <w:sz w:val="22"/>
        </w:rPr>
        <w:t xml:space="preserve">iç </w:t>
      </w:r>
      <w:r w:rsidRPr="003C5F80">
        <w:rPr>
          <w:rFonts w:ascii="Times New Roman" w:hAnsi="Times New Roman" w:cs="Times New Roman"/>
          <w:color w:val="000000"/>
          <w:sz w:val="22"/>
        </w:rPr>
        <w:t>yönerge</w:t>
      </w:r>
      <w:r w:rsidR="00CB440E" w:rsidRPr="003C5F80">
        <w:rPr>
          <w:rFonts w:ascii="Times New Roman" w:hAnsi="Times New Roman" w:cs="Times New Roman"/>
          <w:color w:val="000000"/>
          <w:sz w:val="22"/>
        </w:rPr>
        <w:t>sinde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belirtilen gerekli koşulların sağlanması sonrasında Yeterlik Belgesi verilen Histoloji ve Embriyoloji uzmanlarının ve doktoralılarının Yeterlik Belgelerinin yenilenme usullerinin</w:t>
      </w:r>
      <w:r w:rsidR="0039042C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color w:val="000000"/>
          <w:sz w:val="22"/>
        </w:rPr>
        <w:t>tanımlanmasıdır. Yeniden belgelendirme süreci tamamıyla</w:t>
      </w:r>
      <w:r w:rsidR="0039042C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color w:val="000000"/>
          <w:sz w:val="22"/>
        </w:rPr>
        <w:t>gönüllülük çerçevesinde yürütülür.</w:t>
      </w:r>
    </w:p>
    <w:p w14:paraId="5BFB174A" w14:textId="77777777" w:rsidR="00CB440E" w:rsidRPr="003C5F80" w:rsidRDefault="00CB440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670D77C2" w14:textId="5ED2E72A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Dayanak</w:t>
      </w:r>
    </w:p>
    <w:p w14:paraId="0AB83B53" w14:textId="54850682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>Madde 2</w:t>
      </w:r>
      <w:r w:rsidR="00C74B8B" w:rsidRPr="003C5F80">
        <w:rPr>
          <w:rFonts w:ascii="Times New Roman" w:hAnsi="Times New Roman" w:cs="Times New Roman"/>
          <w:b/>
          <w:bCs/>
          <w:color w:val="000000"/>
          <w:sz w:val="22"/>
        </w:rPr>
        <w:t xml:space="preserve">.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Bu yönerge </w:t>
      </w:r>
      <w:r w:rsidR="00E86D12">
        <w:rPr>
          <w:rFonts w:ascii="Times New Roman" w:hAnsi="Times New Roman" w:cs="Times New Roman"/>
          <w:color w:val="000000"/>
          <w:sz w:val="22"/>
        </w:rPr>
        <w:t xml:space="preserve">Türk </w:t>
      </w:r>
      <w:r w:rsidR="0039042C" w:rsidRPr="003C5F80">
        <w:rPr>
          <w:rFonts w:ascii="Times New Roman" w:hAnsi="Times New Roman" w:cs="Times New Roman"/>
          <w:color w:val="000000"/>
          <w:sz w:val="22"/>
        </w:rPr>
        <w:t xml:space="preserve">Histoloji ve Embriyoloji </w:t>
      </w:r>
      <w:r w:rsidR="00E86D12">
        <w:rPr>
          <w:rFonts w:ascii="Times New Roman" w:hAnsi="Times New Roman" w:cs="Times New Roman"/>
          <w:color w:val="000000"/>
          <w:sz w:val="22"/>
        </w:rPr>
        <w:t xml:space="preserve">Derneği </w:t>
      </w:r>
      <w:r w:rsidR="00A6775C" w:rsidRPr="003C5F80">
        <w:rPr>
          <w:rFonts w:ascii="Times New Roman" w:hAnsi="Times New Roman" w:cs="Times New Roman"/>
          <w:color w:val="000000"/>
          <w:sz w:val="22"/>
        </w:rPr>
        <w:t xml:space="preserve">Tıpta Uzmanlık </w:t>
      </w:r>
      <w:r w:rsidR="0039042C" w:rsidRPr="003C5F80">
        <w:rPr>
          <w:rFonts w:ascii="Times New Roman" w:hAnsi="Times New Roman" w:cs="Times New Roman"/>
          <w:color w:val="000000"/>
          <w:sz w:val="22"/>
        </w:rPr>
        <w:t xml:space="preserve">Yeterlilik Yürütme Kurulu </w:t>
      </w:r>
      <w:r w:rsidR="00AF7972" w:rsidRPr="003C5F80">
        <w:rPr>
          <w:rFonts w:ascii="Times New Roman" w:hAnsi="Times New Roman" w:cs="Times New Roman"/>
          <w:color w:val="000000"/>
          <w:sz w:val="22"/>
        </w:rPr>
        <w:t>Yönergesinin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="008322DE" w:rsidRPr="003C5F80">
        <w:rPr>
          <w:rFonts w:ascii="Times New Roman" w:hAnsi="Times New Roman" w:cs="Times New Roman"/>
          <w:color w:val="000000"/>
          <w:sz w:val="22"/>
        </w:rPr>
        <w:t>4</w:t>
      </w:r>
      <w:r w:rsidR="00A6775C" w:rsidRPr="003C5F80">
        <w:rPr>
          <w:rFonts w:ascii="Times New Roman" w:hAnsi="Times New Roman" w:cs="Times New Roman"/>
          <w:color w:val="000000"/>
          <w:sz w:val="22"/>
        </w:rPr>
        <w:t>.</w:t>
      </w:r>
      <w:r w:rsidR="008322DE" w:rsidRPr="003C5F80">
        <w:rPr>
          <w:rFonts w:ascii="Times New Roman" w:hAnsi="Times New Roman" w:cs="Times New Roman"/>
          <w:color w:val="000000"/>
          <w:sz w:val="22"/>
        </w:rPr>
        <w:t xml:space="preserve">2.1’in 7. </w:t>
      </w:r>
      <w:r w:rsidR="00A6775C" w:rsidRPr="003C5F80">
        <w:rPr>
          <w:rFonts w:ascii="Times New Roman" w:hAnsi="Times New Roman" w:cs="Times New Roman"/>
          <w:color w:val="000000"/>
          <w:sz w:val="22"/>
        </w:rPr>
        <w:t>m</w:t>
      </w:r>
      <w:r w:rsidR="008322DE" w:rsidRPr="003C5F80">
        <w:rPr>
          <w:rFonts w:ascii="Times New Roman" w:hAnsi="Times New Roman" w:cs="Times New Roman"/>
          <w:color w:val="000000"/>
          <w:sz w:val="22"/>
        </w:rPr>
        <w:t xml:space="preserve">addesi, </w:t>
      </w:r>
      <w:r w:rsidR="00F62E7E" w:rsidRPr="003C5F80">
        <w:rPr>
          <w:rFonts w:ascii="Times New Roman" w:hAnsi="Times New Roman" w:cs="Times New Roman"/>
          <w:color w:val="000000"/>
          <w:sz w:val="22"/>
        </w:rPr>
        <w:t>7</w:t>
      </w:r>
      <w:r w:rsidR="00A6775C" w:rsidRPr="003C5F80">
        <w:rPr>
          <w:rFonts w:ascii="Times New Roman" w:hAnsi="Times New Roman" w:cs="Times New Roman"/>
          <w:color w:val="000000"/>
          <w:sz w:val="22"/>
        </w:rPr>
        <w:t xml:space="preserve">’nin </w:t>
      </w:r>
      <w:r w:rsidR="00F62E7E" w:rsidRPr="003C5F80">
        <w:rPr>
          <w:rFonts w:ascii="Times New Roman" w:hAnsi="Times New Roman" w:cs="Times New Roman"/>
          <w:color w:val="000000"/>
          <w:sz w:val="22"/>
        </w:rPr>
        <w:t>7</w:t>
      </w:r>
      <w:r w:rsidR="00A6775C" w:rsidRPr="003C5F80">
        <w:rPr>
          <w:rFonts w:ascii="Times New Roman" w:hAnsi="Times New Roman" w:cs="Times New Roman"/>
          <w:color w:val="000000"/>
          <w:sz w:val="22"/>
        </w:rPr>
        <w:t>.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="00A6775C" w:rsidRPr="003C5F80">
        <w:rPr>
          <w:rFonts w:ascii="Times New Roman" w:hAnsi="Times New Roman" w:cs="Times New Roman"/>
          <w:color w:val="000000"/>
          <w:sz w:val="22"/>
        </w:rPr>
        <w:t>m</w:t>
      </w:r>
      <w:r w:rsidRPr="003C5F80">
        <w:rPr>
          <w:rFonts w:ascii="Times New Roman" w:hAnsi="Times New Roman" w:cs="Times New Roman"/>
          <w:color w:val="000000"/>
          <w:sz w:val="22"/>
        </w:rPr>
        <w:t>addesi</w:t>
      </w:r>
      <w:r w:rsidR="00A6775C" w:rsidRPr="003C5F80">
        <w:rPr>
          <w:rFonts w:ascii="Times New Roman" w:hAnsi="Times New Roman" w:cs="Times New Roman"/>
          <w:color w:val="000000"/>
          <w:sz w:val="22"/>
        </w:rPr>
        <w:t xml:space="preserve"> ve 8’in 1 ve 2. maddesine </w:t>
      </w:r>
      <w:r w:rsidRPr="003C5F80">
        <w:rPr>
          <w:rFonts w:ascii="Times New Roman" w:hAnsi="Times New Roman" w:cs="Times New Roman"/>
          <w:color w:val="000000"/>
          <w:sz w:val="22"/>
        </w:rPr>
        <w:t>dayanılarak hazırlanmıştır.</w:t>
      </w:r>
    </w:p>
    <w:p w14:paraId="04D52D45" w14:textId="77777777" w:rsidR="00CB440E" w:rsidRPr="003C5F80" w:rsidRDefault="00CB440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58C89D91" w14:textId="15D0C2FD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İKİNCİ BÖLÜM</w:t>
      </w:r>
    </w:p>
    <w:p w14:paraId="2351A948" w14:textId="77777777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Başvuru Koşulları</w:t>
      </w:r>
    </w:p>
    <w:p w14:paraId="078F86ED" w14:textId="77777777" w:rsidR="00282BF3" w:rsidRPr="003C5F80" w:rsidRDefault="00282BF3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0ED7EE53" w14:textId="270DFB7B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Madde 3</w:t>
      </w:r>
    </w:p>
    <w:p w14:paraId="56D5C49F" w14:textId="77777777" w:rsidR="00171EB8" w:rsidRPr="003C5F80" w:rsidRDefault="00171EB8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5C8746FA" w14:textId="3E8CDD21" w:rsidR="00171EB8" w:rsidRPr="003C5F80" w:rsidRDefault="00171EB8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 xml:space="preserve">3.1. 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2006 </w:t>
      </w:r>
      <w:r w:rsidR="00EC0063" w:rsidRPr="003C5F80">
        <w:rPr>
          <w:rFonts w:ascii="Times New Roman" w:hAnsi="Times New Roman" w:cs="Times New Roman"/>
          <w:bCs/>
          <w:color w:val="000000"/>
          <w:sz w:val="22"/>
        </w:rPr>
        <w:t>yılından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 itibaren TUYYK Ölçme Değerlendirme (Sınav) Komisyonu tarafından duyuruları yapılan 1. ve 2. </w:t>
      </w:r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>b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asamak sınavlarına girip Yeterlik Belgesini almış ve 2014’e dek ve sonrasında </w:t>
      </w:r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>yeniden belgelendirme (</w:t>
      </w:r>
      <w:proofErr w:type="spellStart"/>
      <w:r w:rsidRPr="003C5F80">
        <w:rPr>
          <w:rFonts w:ascii="Times New Roman" w:hAnsi="Times New Roman" w:cs="Times New Roman"/>
          <w:bCs/>
          <w:color w:val="000000"/>
          <w:sz w:val="22"/>
        </w:rPr>
        <w:t>resertifikasyon</w:t>
      </w:r>
      <w:proofErr w:type="spellEnd"/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>)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 başvurusu yapmamış olanlar</w:t>
      </w:r>
      <w:r w:rsidR="009D5B50" w:rsidRPr="003C5F80">
        <w:rPr>
          <w:rFonts w:ascii="Times New Roman" w:hAnsi="Times New Roman" w:cs="Times New Roman"/>
          <w:bCs/>
          <w:color w:val="000000"/>
          <w:sz w:val="22"/>
        </w:rPr>
        <w:t>ın</w:t>
      </w:r>
      <w:r w:rsidR="00592D64">
        <w:rPr>
          <w:rFonts w:ascii="Times New Roman" w:hAnsi="Times New Roman" w:cs="Times New Roman"/>
          <w:bCs/>
          <w:color w:val="000000"/>
          <w:sz w:val="22"/>
        </w:rPr>
        <w:t>,</w:t>
      </w:r>
      <w:r w:rsidR="009D5B50" w:rsidRPr="003C5F80">
        <w:rPr>
          <w:rFonts w:ascii="Times New Roman" w:hAnsi="Times New Roman" w:cs="Times New Roman"/>
          <w:bCs/>
          <w:color w:val="000000"/>
          <w:sz w:val="22"/>
        </w:rPr>
        <w:t xml:space="preserve"> 2025 </w:t>
      </w:r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 xml:space="preserve">yılında </w:t>
      </w:r>
      <w:r w:rsidR="00411105">
        <w:rPr>
          <w:rFonts w:ascii="Times New Roman" w:hAnsi="Times New Roman" w:cs="Times New Roman"/>
          <w:bCs/>
          <w:color w:val="000000"/>
          <w:sz w:val="22"/>
        </w:rPr>
        <w:t>yeniden belgelendirme</w:t>
      </w:r>
      <w:r w:rsidR="009D5B50" w:rsidRPr="003C5F80">
        <w:rPr>
          <w:rFonts w:ascii="Times New Roman" w:hAnsi="Times New Roman" w:cs="Times New Roman"/>
          <w:bCs/>
          <w:color w:val="000000"/>
          <w:sz w:val="22"/>
        </w:rPr>
        <w:t xml:space="preserve"> için başvuruları kabul edilir</w:t>
      </w:r>
      <w:r w:rsidRPr="003C5F80">
        <w:rPr>
          <w:rFonts w:ascii="Times New Roman" w:hAnsi="Times New Roman" w:cs="Times New Roman"/>
          <w:bCs/>
          <w:color w:val="000000"/>
          <w:sz w:val="22"/>
        </w:rPr>
        <w:t>.</w:t>
      </w:r>
    </w:p>
    <w:p w14:paraId="637FB19B" w14:textId="77777777" w:rsidR="00171EB8" w:rsidRPr="003C5F80" w:rsidRDefault="00171EB8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2"/>
        </w:rPr>
      </w:pPr>
    </w:p>
    <w:p w14:paraId="11AB386A" w14:textId="27927BDD" w:rsidR="00171EB8" w:rsidRPr="003C5F80" w:rsidRDefault="009D5B5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 xml:space="preserve">3.2. 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2008 </w:t>
      </w:r>
      <w:r w:rsidR="00EC0063" w:rsidRPr="003C5F80">
        <w:rPr>
          <w:rFonts w:ascii="Times New Roman" w:hAnsi="Times New Roman" w:cs="Times New Roman"/>
          <w:bCs/>
          <w:color w:val="000000"/>
          <w:sz w:val="22"/>
        </w:rPr>
        <w:t>yılından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 önce TUYYK kararıyla Yeterlik Belgesini almış olanlar, 2014 tarihinde </w:t>
      </w:r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>yeniden belgelendirme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 başvurusu yapıp</w:t>
      </w:r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bCs/>
          <w:color w:val="000000"/>
          <w:sz w:val="22"/>
        </w:rPr>
        <w:t>yeterlik belgeleri ellerine ulaşmamış/ulaşmış olanların beyanı esas alınarak</w:t>
      </w:r>
      <w:r w:rsidR="00411105">
        <w:rPr>
          <w:rFonts w:ascii="Times New Roman" w:hAnsi="Times New Roman" w:cs="Times New Roman"/>
          <w:bCs/>
          <w:color w:val="000000"/>
          <w:sz w:val="22"/>
        </w:rPr>
        <w:t>,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 2025 </w:t>
      </w:r>
      <w:r w:rsidR="00901D9F" w:rsidRPr="003C5F80">
        <w:rPr>
          <w:rFonts w:ascii="Times New Roman" w:hAnsi="Times New Roman" w:cs="Times New Roman"/>
          <w:bCs/>
          <w:color w:val="000000"/>
          <w:sz w:val="22"/>
        </w:rPr>
        <w:t xml:space="preserve">yılında </w:t>
      </w:r>
      <w:r w:rsidR="00411105">
        <w:rPr>
          <w:rFonts w:ascii="Times New Roman" w:hAnsi="Times New Roman" w:cs="Times New Roman"/>
          <w:bCs/>
          <w:color w:val="000000"/>
          <w:sz w:val="22"/>
        </w:rPr>
        <w:t>yeniden belgelendirme</w:t>
      </w:r>
      <w:r w:rsidR="00411105" w:rsidRPr="003C5F80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için başvuruları kabul edilir. </w:t>
      </w:r>
    </w:p>
    <w:p w14:paraId="2920F1C2" w14:textId="77777777" w:rsidR="00171EB8" w:rsidRPr="003C5F80" w:rsidRDefault="00171EB8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61EDD2A9" w14:textId="5B8C9B92" w:rsidR="002E5A24" w:rsidRPr="003C5F80" w:rsidRDefault="002E5A24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>3.</w:t>
      </w:r>
      <w:r w:rsidR="00AF7972" w:rsidRPr="003C5F80">
        <w:rPr>
          <w:rFonts w:ascii="Times New Roman" w:hAnsi="Times New Roman" w:cs="Times New Roman"/>
          <w:b/>
          <w:bCs/>
          <w:color w:val="000000"/>
          <w:sz w:val="22"/>
        </w:rPr>
        <w:t>3</w:t>
      </w:r>
      <w:r w:rsidRPr="003C5F80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Yeniden belgelendirilmek için başvuracak adaylardan yeterlik belgesi geçerliliğinin sürenin dolmasından sonra </w:t>
      </w:r>
      <w:proofErr w:type="spellStart"/>
      <w:r w:rsidR="00D61C6B" w:rsidRPr="003C5F80">
        <w:rPr>
          <w:rFonts w:ascii="Times New Roman" w:hAnsi="Times New Roman" w:cs="Times New Roman"/>
          <w:color w:val="000000"/>
          <w:sz w:val="22"/>
        </w:rPr>
        <w:t>TUYYK‘nun</w:t>
      </w:r>
      <w:proofErr w:type="spellEnd"/>
      <w:r w:rsidR="00D61C6B" w:rsidRPr="003C5F80">
        <w:rPr>
          <w:rFonts w:ascii="Times New Roman" w:hAnsi="Times New Roman" w:cs="Times New Roman"/>
          <w:color w:val="000000"/>
          <w:sz w:val="22"/>
        </w:rPr>
        <w:t xml:space="preserve"> belirlediği ve </w:t>
      </w:r>
      <w:r w:rsidR="00411105">
        <w:rPr>
          <w:rFonts w:ascii="Times New Roman" w:hAnsi="Times New Roman" w:cs="Times New Roman"/>
          <w:color w:val="000000"/>
          <w:sz w:val="22"/>
        </w:rPr>
        <w:t xml:space="preserve">yılda iki kez </w:t>
      </w:r>
      <w:r w:rsidR="00D61C6B" w:rsidRPr="003C5F80">
        <w:rPr>
          <w:rFonts w:ascii="Times New Roman" w:hAnsi="Times New Roman" w:cs="Times New Roman"/>
          <w:color w:val="000000"/>
          <w:sz w:val="22"/>
        </w:rPr>
        <w:t xml:space="preserve">duyurduğu takvime göre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başvuru dosyasında istenen </w:t>
      </w:r>
      <w:proofErr w:type="spellStart"/>
      <w:r w:rsidRPr="003C5F80">
        <w:rPr>
          <w:rFonts w:ascii="Times New Roman" w:hAnsi="Times New Roman" w:cs="Times New Roman"/>
          <w:color w:val="000000"/>
          <w:sz w:val="22"/>
        </w:rPr>
        <w:t>dökümanları</w:t>
      </w:r>
      <w:proofErr w:type="spellEnd"/>
      <w:r w:rsidRPr="003C5F80">
        <w:rPr>
          <w:rFonts w:ascii="Times New Roman" w:hAnsi="Times New Roman" w:cs="Times New Roman"/>
          <w:color w:val="000000"/>
          <w:sz w:val="22"/>
        </w:rPr>
        <w:t xml:space="preserve"> değerlendirilmek üzere TUYYK</w:t>
      </w:r>
      <w:r w:rsidR="00401526">
        <w:rPr>
          <w:rFonts w:ascii="Times New Roman" w:hAnsi="Times New Roman" w:cs="Times New Roman"/>
          <w:color w:val="000000"/>
          <w:sz w:val="22"/>
        </w:rPr>
        <w:t xml:space="preserve"> e-posta adresine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iletmesi istenir.</w:t>
      </w:r>
    </w:p>
    <w:p w14:paraId="0225E421" w14:textId="7BB786E4" w:rsidR="002E5A24" w:rsidRPr="003C5F80" w:rsidRDefault="002E5A24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7A06C084" w14:textId="3ABA9100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lastRenderedPageBreak/>
        <w:t>Yeniden Belgelendirm</w:t>
      </w:r>
      <w:r w:rsidR="009575AE" w:rsidRPr="003C5F80">
        <w:rPr>
          <w:rFonts w:ascii="Times New Roman" w:hAnsi="Times New Roman" w:cs="Times New Roman"/>
          <w:b/>
          <w:color w:val="000000"/>
          <w:sz w:val="22"/>
        </w:rPr>
        <w:t>e Başvuru Kriterleri</w:t>
      </w:r>
    </w:p>
    <w:p w14:paraId="35827771" w14:textId="77777777" w:rsidR="009575AE" w:rsidRPr="003C5F80" w:rsidRDefault="009575A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7BA705FF" w14:textId="77777777" w:rsidR="009575AE" w:rsidRPr="003C5F80" w:rsidRDefault="009575A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 xml:space="preserve">Madde 4. </w:t>
      </w:r>
    </w:p>
    <w:p w14:paraId="36FB6060" w14:textId="77777777" w:rsidR="009575AE" w:rsidRPr="003C5F80" w:rsidRDefault="009575A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4B68F2B1" w14:textId="6A0932DA" w:rsidR="009575AE" w:rsidRPr="003C5F80" w:rsidRDefault="009575A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>4.1.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TUYYK tarafından duyurulan başvuru kriterlerinin belirtildiği tabloda ayrıntıları sunulan bilimsel etkinliklerden son on yıl içinde en az </w:t>
      </w:r>
      <w:r w:rsidRPr="003C5F80">
        <w:rPr>
          <w:rFonts w:ascii="Times New Roman" w:hAnsi="Times New Roman" w:cs="Times New Roman"/>
          <w:b/>
          <w:bCs/>
          <w:color w:val="000000"/>
          <w:sz w:val="22"/>
        </w:rPr>
        <w:t>100 puan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toplamış olmak. </w:t>
      </w:r>
    </w:p>
    <w:p w14:paraId="21AF6670" w14:textId="77777777" w:rsidR="009575AE" w:rsidRPr="003C5F80" w:rsidRDefault="009575AE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3DE99C33" w14:textId="27064B78" w:rsidR="00A24C17" w:rsidRPr="003C5F80" w:rsidRDefault="00A24C17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 xml:space="preserve">4.2.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Başvurular yeterlik belgesi süresi dolmadan 6 (altı) ay öncesinden başlayarak yapılabilir. Başvurular e-posta yoluyla TUYYK başkanlığına yapılır. </w:t>
      </w:r>
    </w:p>
    <w:p w14:paraId="36E8329C" w14:textId="77777777" w:rsidR="00A24C17" w:rsidRPr="003C5F80" w:rsidRDefault="00A24C17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4FC41700" w14:textId="0A05E393" w:rsidR="00A24C17" w:rsidRPr="003C5F80" w:rsidRDefault="00A24C17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 xml:space="preserve">4.3. </w:t>
      </w:r>
      <w:r w:rsidRPr="003C5F80">
        <w:rPr>
          <w:rFonts w:ascii="Times New Roman" w:hAnsi="Times New Roman" w:cs="Times New Roman"/>
          <w:color w:val="000000"/>
          <w:sz w:val="22"/>
        </w:rPr>
        <w:t>Yeniden belgelendirme süreci ve değişiklikleri TUYYK tarafından duyurulur.</w:t>
      </w:r>
    </w:p>
    <w:p w14:paraId="2EE27EBA" w14:textId="30B33D9B" w:rsidR="00A24C17" w:rsidRPr="003C5F80" w:rsidRDefault="00A24C17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7B638861" w14:textId="69102ED6" w:rsidR="00A24C17" w:rsidRPr="003C5F80" w:rsidRDefault="00A24C17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 xml:space="preserve">4.4.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Yeniden belgelendirmenin geçerlilik süresi </w:t>
      </w:r>
      <w:r w:rsidRPr="00D94944">
        <w:rPr>
          <w:rFonts w:ascii="Times New Roman" w:hAnsi="Times New Roman" w:cs="Times New Roman"/>
          <w:b/>
          <w:bCs/>
          <w:color w:val="000000"/>
          <w:sz w:val="22"/>
        </w:rPr>
        <w:t>10 yıl</w:t>
      </w:r>
      <w:r w:rsidRPr="003C5F80">
        <w:rPr>
          <w:rFonts w:ascii="Times New Roman" w:hAnsi="Times New Roman" w:cs="Times New Roman"/>
          <w:color w:val="000000"/>
          <w:sz w:val="22"/>
        </w:rPr>
        <w:t>dır.</w:t>
      </w:r>
    </w:p>
    <w:p w14:paraId="6040720D" w14:textId="77777777" w:rsidR="002E5A24" w:rsidRPr="003C5F80" w:rsidRDefault="002E5A24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1252F085" w14:textId="2E82854C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Başvuru Dosyasının İçeriği</w:t>
      </w:r>
    </w:p>
    <w:p w14:paraId="12E1C74E" w14:textId="0D619AED" w:rsidR="00E24120" w:rsidRPr="00D94944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</w:rPr>
      </w:pPr>
      <w:r w:rsidRPr="00D94944">
        <w:rPr>
          <w:rFonts w:ascii="Times New Roman" w:hAnsi="Times New Roman" w:cs="Times New Roman"/>
          <w:b/>
          <w:bCs/>
          <w:color w:val="000000"/>
          <w:sz w:val="22"/>
        </w:rPr>
        <w:t>Madde 5</w:t>
      </w:r>
      <w:r w:rsidR="00D94944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color w:val="000000"/>
          <w:sz w:val="22"/>
        </w:rPr>
        <w:t>Yeniden Belgelendirme için yapılacak başvuru</w:t>
      </w:r>
      <w:r w:rsidR="0039042C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color w:val="000000"/>
          <w:sz w:val="22"/>
        </w:rPr>
        <w:t>dosyasında aşağıdaki belgeler bulunmalıdır:</w:t>
      </w:r>
    </w:p>
    <w:p w14:paraId="59AE15EA" w14:textId="77777777" w:rsidR="00C74B8B" w:rsidRPr="003C5F80" w:rsidRDefault="00C74B8B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7AA7BC85" w14:textId="225992E8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D94944">
        <w:rPr>
          <w:rFonts w:ascii="Times New Roman" w:hAnsi="Times New Roman" w:cs="Times New Roman"/>
          <w:b/>
          <w:bCs/>
          <w:color w:val="000000"/>
          <w:sz w:val="22"/>
        </w:rPr>
        <w:t>5.1.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 Başvuru </w:t>
      </w:r>
      <w:r w:rsidR="000F2AE6" w:rsidRPr="003C5F80">
        <w:rPr>
          <w:rFonts w:ascii="Times New Roman" w:hAnsi="Times New Roman" w:cs="Times New Roman"/>
          <w:color w:val="000000"/>
          <w:sz w:val="22"/>
        </w:rPr>
        <w:t>formu</w:t>
      </w:r>
    </w:p>
    <w:p w14:paraId="5F7275EF" w14:textId="77777777" w:rsidR="00C74B8B" w:rsidRPr="003C5F80" w:rsidRDefault="00C74B8B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32E570FB" w14:textId="7CF0BCD3" w:rsidR="00C74B8B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D94944">
        <w:rPr>
          <w:rFonts w:ascii="Times New Roman" w:hAnsi="Times New Roman" w:cs="Times New Roman"/>
          <w:b/>
          <w:bCs/>
          <w:color w:val="000000"/>
          <w:sz w:val="22"/>
        </w:rPr>
        <w:t xml:space="preserve">5.2. </w:t>
      </w:r>
      <w:r w:rsidRPr="003C5F80">
        <w:rPr>
          <w:rFonts w:ascii="Times New Roman" w:hAnsi="Times New Roman" w:cs="Times New Roman"/>
          <w:color w:val="000000"/>
          <w:sz w:val="22"/>
        </w:rPr>
        <w:t>Önceki Yeterlik Belgesi örneği</w:t>
      </w:r>
      <w:r w:rsidR="001D340D" w:rsidRPr="003C5F80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03F13AD3" w14:textId="7BD743BA" w:rsidR="00C74B8B" w:rsidRPr="003C5F80" w:rsidRDefault="00C74B8B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2"/>
        </w:rPr>
      </w:pPr>
      <w:r w:rsidRPr="003C5F80">
        <w:rPr>
          <w:rFonts w:ascii="Times New Roman" w:hAnsi="Times New Roman" w:cs="Times New Roman"/>
          <w:bCs/>
          <w:color w:val="000000"/>
          <w:sz w:val="22"/>
        </w:rPr>
        <w:t>2008 yılından önce TUYYK kararıyla Yeterlik Belgesini almış olanlar, 2014 tarihinde yeniden belgelendirme başvurusu yapıp yeterlik belgeleri ellerine ulaşm</w:t>
      </w:r>
      <w:r w:rsidR="00D94944">
        <w:rPr>
          <w:rFonts w:ascii="Times New Roman" w:hAnsi="Times New Roman" w:cs="Times New Roman"/>
          <w:bCs/>
          <w:color w:val="000000"/>
          <w:sz w:val="22"/>
        </w:rPr>
        <w:t>ış</w:t>
      </w:r>
      <w:r w:rsidR="006A1D70" w:rsidRPr="003C5F80">
        <w:rPr>
          <w:rFonts w:ascii="Times New Roman" w:hAnsi="Times New Roman" w:cs="Times New Roman"/>
          <w:bCs/>
          <w:color w:val="000000"/>
          <w:sz w:val="22"/>
        </w:rPr>
        <w:t xml:space="preserve"> </w:t>
      </w:r>
      <w:r w:rsidR="00D94944">
        <w:rPr>
          <w:rFonts w:ascii="Times New Roman" w:hAnsi="Times New Roman" w:cs="Times New Roman"/>
          <w:bCs/>
          <w:color w:val="000000"/>
          <w:sz w:val="22"/>
        </w:rPr>
        <w:t xml:space="preserve">olanların belgeleri </w:t>
      </w:r>
      <w:r w:rsidR="00145C05">
        <w:rPr>
          <w:rFonts w:ascii="Times New Roman" w:hAnsi="Times New Roman" w:cs="Times New Roman"/>
          <w:bCs/>
          <w:color w:val="000000"/>
          <w:sz w:val="22"/>
        </w:rPr>
        <w:t xml:space="preserve">dosyaya </w:t>
      </w:r>
      <w:r w:rsidR="00D94944">
        <w:rPr>
          <w:rFonts w:ascii="Times New Roman" w:hAnsi="Times New Roman" w:cs="Times New Roman"/>
          <w:bCs/>
          <w:color w:val="000000"/>
          <w:sz w:val="22"/>
        </w:rPr>
        <w:t xml:space="preserve">eklenmelidir, </w:t>
      </w:r>
      <w:r w:rsidR="009576FF">
        <w:rPr>
          <w:rFonts w:ascii="Times New Roman" w:hAnsi="Times New Roman" w:cs="Times New Roman"/>
          <w:bCs/>
          <w:color w:val="000000"/>
          <w:sz w:val="22"/>
        </w:rPr>
        <w:t xml:space="preserve">ellerine </w:t>
      </w:r>
      <w:r w:rsidRPr="003C5F80">
        <w:rPr>
          <w:rFonts w:ascii="Times New Roman" w:hAnsi="Times New Roman" w:cs="Times New Roman"/>
          <w:bCs/>
          <w:color w:val="000000"/>
          <w:sz w:val="22"/>
        </w:rPr>
        <w:t>ulaş</w:t>
      </w:r>
      <w:r w:rsidR="00D94944">
        <w:rPr>
          <w:rFonts w:ascii="Times New Roman" w:hAnsi="Times New Roman" w:cs="Times New Roman"/>
          <w:bCs/>
          <w:color w:val="000000"/>
          <w:sz w:val="22"/>
        </w:rPr>
        <w:t>ma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mış olanların </w:t>
      </w:r>
      <w:r w:rsidR="00D94944">
        <w:rPr>
          <w:rFonts w:ascii="Times New Roman" w:hAnsi="Times New Roman" w:cs="Times New Roman"/>
          <w:bCs/>
          <w:color w:val="000000"/>
          <w:sz w:val="22"/>
        </w:rPr>
        <w:t xml:space="preserve">yeterlik belgelerinin ulaşmadığına dair 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beyanı </w:t>
      </w:r>
      <w:r w:rsidR="00145C05">
        <w:rPr>
          <w:rFonts w:ascii="Times New Roman" w:hAnsi="Times New Roman" w:cs="Times New Roman"/>
          <w:bCs/>
          <w:color w:val="000000"/>
          <w:sz w:val="22"/>
        </w:rPr>
        <w:t>başvuru formunda</w:t>
      </w:r>
      <w:r w:rsidRPr="003C5F80">
        <w:rPr>
          <w:rFonts w:ascii="Times New Roman" w:hAnsi="Times New Roman" w:cs="Times New Roman"/>
          <w:bCs/>
          <w:color w:val="000000"/>
          <w:sz w:val="22"/>
        </w:rPr>
        <w:t xml:space="preserve"> bulunmalıdır</w:t>
      </w:r>
      <w:r w:rsidR="00C8706B" w:rsidRPr="003C5F80">
        <w:rPr>
          <w:rFonts w:ascii="Times New Roman" w:hAnsi="Times New Roman" w:cs="Times New Roman"/>
          <w:bCs/>
          <w:color w:val="000000"/>
          <w:sz w:val="22"/>
        </w:rPr>
        <w:t>.</w:t>
      </w:r>
    </w:p>
    <w:p w14:paraId="642F4183" w14:textId="77777777" w:rsidR="00C74B8B" w:rsidRPr="003C5F80" w:rsidRDefault="00C74B8B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679187CD" w14:textId="70CC16AD" w:rsidR="006A1D70" w:rsidRPr="003C5F80" w:rsidRDefault="00662A5F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D94944">
        <w:rPr>
          <w:rFonts w:ascii="Times New Roman" w:hAnsi="Times New Roman" w:cs="Times New Roman"/>
          <w:b/>
          <w:bCs/>
          <w:color w:val="000000"/>
          <w:sz w:val="22"/>
        </w:rPr>
        <w:t>5.</w:t>
      </w:r>
      <w:r w:rsidR="00574CD6" w:rsidRPr="00D94944">
        <w:rPr>
          <w:rFonts w:ascii="Times New Roman" w:hAnsi="Times New Roman" w:cs="Times New Roman"/>
          <w:b/>
          <w:bCs/>
          <w:color w:val="000000"/>
          <w:sz w:val="22"/>
        </w:rPr>
        <w:t>3</w:t>
      </w:r>
      <w:r w:rsidR="00E24120" w:rsidRPr="00D94944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="00E24120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="00145C05">
        <w:rPr>
          <w:rFonts w:ascii="Times New Roman" w:hAnsi="Times New Roman" w:cs="Times New Roman"/>
          <w:color w:val="000000"/>
          <w:sz w:val="22"/>
        </w:rPr>
        <w:t>Başvuru sürecinde</w:t>
      </w:r>
      <w:r w:rsidR="00F82467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Pr="003C5F80">
        <w:rPr>
          <w:rFonts w:ascii="Times New Roman" w:hAnsi="Times New Roman" w:cs="Times New Roman"/>
          <w:color w:val="000000"/>
          <w:sz w:val="22"/>
        </w:rPr>
        <w:t xml:space="preserve">Yeterlik Yürütme Kurulu </w:t>
      </w:r>
      <w:r w:rsidR="00335469" w:rsidRPr="003C5F80">
        <w:rPr>
          <w:rFonts w:ascii="Times New Roman" w:hAnsi="Times New Roman" w:cs="Times New Roman"/>
          <w:color w:val="000000"/>
          <w:sz w:val="22"/>
        </w:rPr>
        <w:t xml:space="preserve">tarafından </w:t>
      </w:r>
      <w:r w:rsidR="006A1D70" w:rsidRPr="003C5F80">
        <w:rPr>
          <w:rFonts w:ascii="Times New Roman" w:hAnsi="Times New Roman" w:cs="Times New Roman"/>
          <w:color w:val="000000"/>
          <w:sz w:val="22"/>
        </w:rPr>
        <w:t>THED web</w:t>
      </w:r>
      <w:r w:rsidR="00AF7972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="006A1D70" w:rsidRPr="003C5F80">
        <w:rPr>
          <w:rFonts w:ascii="Times New Roman" w:hAnsi="Times New Roman" w:cs="Times New Roman"/>
          <w:color w:val="000000"/>
          <w:sz w:val="22"/>
        </w:rPr>
        <w:t xml:space="preserve">sayfasında Tıpta Uzmanlık Yeterlik Yürütme Kurulu sekmesi altında </w:t>
      </w:r>
      <w:r w:rsidRPr="003C5F80">
        <w:rPr>
          <w:rFonts w:ascii="Times New Roman" w:hAnsi="Times New Roman" w:cs="Times New Roman"/>
          <w:color w:val="000000"/>
          <w:sz w:val="22"/>
        </w:rPr>
        <w:t>içeriği duyurulan</w:t>
      </w:r>
      <w:r w:rsidR="006A1D70" w:rsidRPr="003C5F80">
        <w:rPr>
          <w:rFonts w:ascii="Times New Roman" w:hAnsi="Times New Roman" w:cs="Times New Roman"/>
          <w:color w:val="000000"/>
          <w:sz w:val="22"/>
        </w:rPr>
        <w:t xml:space="preserve"> başvuru formunun doldurular</w:t>
      </w:r>
      <w:r w:rsidR="00145C05">
        <w:rPr>
          <w:rFonts w:ascii="Times New Roman" w:hAnsi="Times New Roman" w:cs="Times New Roman"/>
          <w:color w:val="000000"/>
          <w:sz w:val="22"/>
        </w:rPr>
        <w:t>ak ve</w:t>
      </w:r>
      <w:r w:rsidR="006A1D70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="00A709D3" w:rsidRPr="003C5F80">
        <w:rPr>
          <w:rFonts w:ascii="Times New Roman" w:hAnsi="Times New Roman" w:cs="Times New Roman"/>
          <w:color w:val="000000"/>
          <w:sz w:val="22"/>
        </w:rPr>
        <w:t xml:space="preserve">100 puana ait </w:t>
      </w:r>
      <w:r w:rsidR="006A1D70" w:rsidRPr="003C5F80">
        <w:rPr>
          <w:rFonts w:ascii="Times New Roman" w:hAnsi="Times New Roman" w:cs="Times New Roman"/>
          <w:color w:val="000000"/>
          <w:sz w:val="22"/>
        </w:rPr>
        <w:t>bilimsel etkinlik kanıt</w:t>
      </w:r>
      <w:r w:rsidR="00A709D3" w:rsidRPr="003C5F80">
        <w:rPr>
          <w:rFonts w:ascii="Times New Roman" w:hAnsi="Times New Roman" w:cs="Times New Roman"/>
          <w:color w:val="000000"/>
          <w:sz w:val="22"/>
        </w:rPr>
        <w:t xml:space="preserve"> belgeleri </w:t>
      </w:r>
      <w:r w:rsidR="006A1D70" w:rsidRPr="003C5F80">
        <w:rPr>
          <w:rFonts w:ascii="Times New Roman" w:hAnsi="Times New Roman" w:cs="Times New Roman"/>
          <w:color w:val="000000"/>
          <w:sz w:val="22"/>
        </w:rPr>
        <w:t xml:space="preserve">eklenerek </w:t>
      </w:r>
      <w:r w:rsidR="0008418D">
        <w:rPr>
          <w:rFonts w:ascii="Times New Roman" w:hAnsi="Times New Roman" w:cs="Times New Roman"/>
          <w:color w:val="000000"/>
          <w:sz w:val="22"/>
        </w:rPr>
        <w:t>duyurulan başvuru takvimi süresi içerisinde</w:t>
      </w:r>
      <w:r w:rsidR="00291E1D">
        <w:rPr>
          <w:rFonts w:ascii="Times New Roman" w:hAnsi="Times New Roman" w:cs="Times New Roman"/>
          <w:color w:val="000000"/>
          <w:sz w:val="22"/>
        </w:rPr>
        <w:t xml:space="preserve"> </w:t>
      </w:r>
      <w:r w:rsidR="0008418D" w:rsidRPr="003C5F80">
        <w:rPr>
          <w:rFonts w:ascii="Times New Roman" w:hAnsi="Times New Roman" w:cs="Times New Roman"/>
          <w:color w:val="000000"/>
          <w:sz w:val="22"/>
        </w:rPr>
        <w:t xml:space="preserve">TUYYK e-posta adresine </w:t>
      </w:r>
      <w:proofErr w:type="gramStart"/>
      <w:r w:rsidR="0008418D" w:rsidRPr="003C5F80">
        <w:rPr>
          <w:rFonts w:ascii="Times New Roman" w:hAnsi="Times New Roman" w:cs="Times New Roman"/>
          <w:color w:val="000000"/>
          <w:sz w:val="22"/>
        </w:rPr>
        <w:t>mail</w:t>
      </w:r>
      <w:proofErr w:type="gramEnd"/>
      <w:r w:rsidR="0008418D" w:rsidRPr="003C5F80">
        <w:rPr>
          <w:rFonts w:ascii="Times New Roman" w:hAnsi="Times New Roman" w:cs="Times New Roman"/>
          <w:color w:val="000000"/>
          <w:sz w:val="22"/>
        </w:rPr>
        <w:t xml:space="preserve"> olarak </w:t>
      </w:r>
      <w:r w:rsidR="006A1D70" w:rsidRPr="003C5F80">
        <w:rPr>
          <w:rFonts w:ascii="Times New Roman" w:hAnsi="Times New Roman" w:cs="Times New Roman"/>
          <w:color w:val="000000"/>
          <w:sz w:val="22"/>
        </w:rPr>
        <w:t>iletilmesi</w:t>
      </w:r>
      <w:r w:rsidR="00145C05">
        <w:rPr>
          <w:rFonts w:ascii="Times New Roman" w:hAnsi="Times New Roman" w:cs="Times New Roman"/>
          <w:color w:val="000000"/>
          <w:sz w:val="22"/>
        </w:rPr>
        <w:t xml:space="preserve"> gerekmektedir.</w:t>
      </w:r>
    </w:p>
    <w:p w14:paraId="3F84FE32" w14:textId="584DCEDB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</w:p>
    <w:p w14:paraId="6C188AAB" w14:textId="778307C5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ÜÇÜNCÜ BÖLÜM</w:t>
      </w:r>
    </w:p>
    <w:p w14:paraId="437F5990" w14:textId="77777777" w:rsidR="00F52755" w:rsidRPr="003C5F80" w:rsidRDefault="00F52755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048CBF68" w14:textId="3235580B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Çeşitli ve Son Hükümler</w:t>
      </w:r>
    </w:p>
    <w:p w14:paraId="46E61541" w14:textId="77777777" w:rsidR="00323DF4" w:rsidRPr="003C5F80" w:rsidRDefault="00323DF4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7286A750" w14:textId="1DE04FB8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  <w:r w:rsidRPr="003C5F80">
        <w:rPr>
          <w:rFonts w:ascii="Times New Roman" w:hAnsi="Times New Roman" w:cs="Times New Roman"/>
          <w:b/>
          <w:color w:val="000000"/>
          <w:sz w:val="22"/>
        </w:rPr>
        <w:t>Yürütme</w:t>
      </w:r>
    </w:p>
    <w:p w14:paraId="4430312F" w14:textId="77777777" w:rsidR="00F52755" w:rsidRPr="003C5F80" w:rsidRDefault="00F52755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5595490B" w14:textId="78484A1A" w:rsidR="00AF7972" w:rsidRPr="0008418D" w:rsidRDefault="00095EC9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</w:rPr>
      </w:pPr>
      <w:r w:rsidRPr="003C5F80">
        <w:rPr>
          <w:rFonts w:ascii="Times New Roman" w:hAnsi="Times New Roman" w:cs="Times New Roman"/>
          <w:b/>
          <w:bCs/>
          <w:color w:val="000000"/>
          <w:sz w:val="22"/>
        </w:rPr>
        <w:t xml:space="preserve">Madde </w:t>
      </w:r>
      <w:r w:rsidR="00C74B8B" w:rsidRPr="003C5F80">
        <w:rPr>
          <w:rFonts w:ascii="Times New Roman" w:hAnsi="Times New Roman" w:cs="Times New Roman"/>
          <w:b/>
          <w:bCs/>
          <w:color w:val="000000"/>
          <w:sz w:val="22"/>
        </w:rPr>
        <w:t>6</w:t>
      </w:r>
    </w:p>
    <w:p w14:paraId="32CD8A12" w14:textId="04888055" w:rsidR="00E24120" w:rsidRPr="003C5F80" w:rsidRDefault="00E24120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3C5F80">
        <w:rPr>
          <w:rFonts w:ascii="Times New Roman" w:hAnsi="Times New Roman" w:cs="Times New Roman"/>
          <w:color w:val="000000"/>
          <w:sz w:val="22"/>
        </w:rPr>
        <w:t>Bu yönergeyi</w:t>
      </w:r>
      <w:r w:rsidR="000F2AE6" w:rsidRPr="003C5F80">
        <w:rPr>
          <w:rFonts w:ascii="Times New Roman" w:hAnsi="Times New Roman" w:cs="Times New Roman"/>
          <w:color w:val="000000"/>
          <w:sz w:val="22"/>
        </w:rPr>
        <w:t xml:space="preserve"> </w:t>
      </w:r>
      <w:r w:rsidR="00291E1D">
        <w:rPr>
          <w:rFonts w:ascii="Times New Roman" w:hAnsi="Times New Roman" w:cs="Times New Roman"/>
          <w:color w:val="000000"/>
          <w:sz w:val="22"/>
        </w:rPr>
        <w:t xml:space="preserve">Türk </w:t>
      </w:r>
      <w:r w:rsidR="004E2EB9" w:rsidRPr="003C5F80">
        <w:rPr>
          <w:rFonts w:ascii="Times New Roman" w:hAnsi="Times New Roman" w:cs="Times New Roman"/>
          <w:color w:val="000000"/>
          <w:sz w:val="22"/>
        </w:rPr>
        <w:t xml:space="preserve">Histoloji ve Embriyoloji </w:t>
      </w:r>
      <w:r w:rsidR="00291E1D">
        <w:rPr>
          <w:rFonts w:ascii="Times New Roman" w:hAnsi="Times New Roman" w:cs="Times New Roman"/>
          <w:color w:val="000000"/>
          <w:sz w:val="22"/>
        </w:rPr>
        <w:t xml:space="preserve">Derneği </w:t>
      </w:r>
      <w:r w:rsidR="00282BF3" w:rsidRPr="003C5F80">
        <w:rPr>
          <w:rFonts w:ascii="Times New Roman" w:hAnsi="Times New Roman" w:cs="Times New Roman"/>
          <w:color w:val="000000"/>
          <w:sz w:val="22"/>
        </w:rPr>
        <w:t xml:space="preserve">Tıpta Uzmanlık </w:t>
      </w:r>
      <w:r w:rsidR="004E2EB9" w:rsidRPr="003C5F80">
        <w:rPr>
          <w:rFonts w:ascii="Times New Roman" w:hAnsi="Times New Roman" w:cs="Times New Roman"/>
          <w:color w:val="000000"/>
          <w:sz w:val="22"/>
        </w:rPr>
        <w:t xml:space="preserve">Yeterlik Yürütme Kurulu </w:t>
      </w:r>
      <w:r w:rsidRPr="003C5F80">
        <w:rPr>
          <w:rFonts w:ascii="Times New Roman" w:hAnsi="Times New Roman" w:cs="Times New Roman"/>
          <w:color w:val="000000"/>
          <w:sz w:val="22"/>
        </w:rPr>
        <w:t>yürütür.</w:t>
      </w:r>
    </w:p>
    <w:p w14:paraId="12369E7F" w14:textId="77777777" w:rsidR="00095EC9" w:rsidRPr="003C5F80" w:rsidRDefault="00095EC9" w:rsidP="003C5F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</w:rPr>
      </w:pPr>
    </w:p>
    <w:p w14:paraId="546B2C54" w14:textId="6FA41144" w:rsidR="00E24120" w:rsidRPr="003C5F80" w:rsidRDefault="00634FD8" w:rsidP="003C5F8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</w:rPr>
      </w:pPr>
      <w:r w:rsidRPr="003C5F80">
        <w:rPr>
          <w:rFonts w:ascii="Times New Roman" w:hAnsi="Times New Roman" w:cs="Times New Roman"/>
          <w:b/>
          <w:bCs/>
          <w:sz w:val="22"/>
        </w:rPr>
        <w:t>Madde 7</w:t>
      </w:r>
    </w:p>
    <w:p w14:paraId="572F2C16" w14:textId="7897F4F2" w:rsidR="00634FD8" w:rsidRPr="003C5F80" w:rsidRDefault="00634FD8" w:rsidP="000F2AE6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Bu yönergenin İkinci Bölümünü oluşturan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B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aşvuru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K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oşulları,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Y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eniden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B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elgelendirme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B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aşvuru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K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riterleri ve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B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aşvuru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>D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osyasının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İçeriği 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başlıklarının, 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kapsamı 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>oluşturulduğu tarihten sonra her 10 yılda gözden geçirilerek  </w:t>
      </w:r>
      <w:r w:rsidR="00D10055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versiyon numarası verilerek </w:t>
      </w:r>
      <w:r w:rsidRPr="003C5F80">
        <w:rPr>
          <w:rFonts w:ascii="Times New Roman" w:hAnsi="Times New Roman" w:cs="Times New Roman"/>
          <w:color w:val="222222"/>
          <w:sz w:val="22"/>
          <w:shd w:val="clear" w:color="auto" w:fill="FFFFFF"/>
        </w:rPr>
        <w:t>yeniden düzenlenir.</w:t>
      </w:r>
      <w:r w:rsidR="00291E1D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</w:p>
    <w:sectPr w:rsidR="00634FD8" w:rsidRPr="003C5F8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ECD3" w14:textId="77777777" w:rsidR="00F943EC" w:rsidRDefault="00F943EC" w:rsidP="002A1548">
      <w:r>
        <w:separator/>
      </w:r>
    </w:p>
  </w:endnote>
  <w:endnote w:type="continuationSeparator" w:id="0">
    <w:p w14:paraId="1C4918E3" w14:textId="77777777" w:rsidR="00F943EC" w:rsidRDefault="00F943EC" w:rsidP="002A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544128994"/>
      <w:docPartObj>
        <w:docPartGallery w:val="Page Numbers (Bottom of Page)"/>
        <w:docPartUnique/>
      </w:docPartObj>
    </w:sdtPr>
    <w:sdtContent>
      <w:p w14:paraId="7423296A" w14:textId="7ABBFB28" w:rsidR="002A1548" w:rsidRDefault="002A1548" w:rsidP="00576903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5A70979" w14:textId="77777777" w:rsidR="002A1548" w:rsidRDefault="002A1548" w:rsidP="002A154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363876915"/>
      <w:docPartObj>
        <w:docPartGallery w:val="Page Numbers (Bottom of Page)"/>
        <w:docPartUnique/>
      </w:docPartObj>
    </w:sdtPr>
    <w:sdtContent>
      <w:p w14:paraId="6B414208" w14:textId="7C11CBD2" w:rsidR="002A1548" w:rsidRDefault="002A1548" w:rsidP="00576903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06CC6B69" w14:textId="77777777" w:rsidR="002A1548" w:rsidRDefault="002A1548" w:rsidP="002A1548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4E0F" w14:textId="77777777" w:rsidR="00F943EC" w:rsidRDefault="00F943EC" w:rsidP="002A1548">
      <w:r>
        <w:separator/>
      </w:r>
    </w:p>
  </w:footnote>
  <w:footnote w:type="continuationSeparator" w:id="0">
    <w:p w14:paraId="2433DB48" w14:textId="77777777" w:rsidR="00F943EC" w:rsidRDefault="00F943EC" w:rsidP="002A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5"/>
    <w:multiLevelType w:val="hybridMultilevel"/>
    <w:tmpl w:val="814A753A"/>
    <w:lvl w:ilvl="0" w:tplc="2304B7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714159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96577"/>
    <w:multiLevelType w:val="hybridMultilevel"/>
    <w:tmpl w:val="676E87FE"/>
    <w:lvl w:ilvl="0" w:tplc="F5A8C67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10209">
    <w:abstractNumId w:val="1"/>
  </w:num>
  <w:num w:numId="2" w16cid:durableId="524170382">
    <w:abstractNumId w:val="0"/>
  </w:num>
  <w:num w:numId="3" w16cid:durableId="1679503943">
    <w:abstractNumId w:val="1"/>
  </w:num>
  <w:num w:numId="4" w16cid:durableId="669991407">
    <w:abstractNumId w:val="1"/>
  </w:num>
  <w:num w:numId="5" w16cid:durableId="212241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20"/>
    <w:rsid w:val="0001515E"/>
    <w:rsid w:val="00072EC2"/>
    <w:rsid w:val="0008418D"/>
    <w:rsid w:val="00095EC9"/>
    <w:rsid w:val="000F2AE6"/>
    <w:rsid w:val="00145C05"/>
    <w:rsid w:val="00157272"/>
    <w:rsid w:val="00171EB8"/>
    <w:rsid w:val="001D340D"/>
    <w:rsid w:val="001F5D2A"/>
    <w:rsid w:val="00282BF3"/>
    <w:rsid w:val="0028564B"/>
    <w:rsid w:val="00291E1D"/>
    <w:rsid w:val="002A1548"/>
    <w:rsid w:val="002D4F29"/>
    <w:rsid w:val="002E5A24"/>
    <w:rsid w:val="00323DF4"/>
    <w:rsid w:val="00335469"/>
    <w:rsid w:val="003642CB"/>
    <w:rsid w:val="0039042C"/>
    <w:rsid w:val="003C5F80"/>
    <w:rsid w:val="003D56A9"/>
    <w:rsid w:val="004005CE"/>
    <w:rsid w:val="00401526"/>
    <w:rsid w:val="00411105"/>
    <w:rsid w:val="00483714"/>
    <w:rsid w:val="004E2EB9"/>
    <w:rsid w:val="0050089C"/>
    <w:rsid w:val="00530B1D"/>
    <w:rsid w:val="00546F7F"/>
    <w:rsid w:val="00574CD6"/>
    <w:rsid w:val="00586E6C"/>
    <w:rsid w:val="005910B3"/>
    <w:rsid w:val="00592D64"/>
    <w:rsid w:val="005D7655"/>
    <w:rsid w:val="006113ED"/>
    <w:rsid w:val="00630929"/>
    <w:rsid w:val="00631219"/>
    <w:rsid w:val="00634FD8"/>
    <w:rsid w:val="00662A5F"/>
    <w:rsid w:val="006A1D70"/>
    <w:rsid w:val="006D0AA6"/>
    <w:rsid w:val="007277DF"/>
    <w:rsid w:val="0074556A"/>
    <w:rsid w:val="008322DE"/>
    <w:rsid w:val="008C66D8"/>
    <w:rsid w:val="008D4ADE"/>
    <w:rsid w:val="00901D9F"/>
    <w:rsid w:val="009575AE"/>
    <w:rsid w:val="009576FF"/>
    <w:rsid w:val="009D5B50"/>
    <w:rsid w:val="009F083D"/>
    <w:rsid w:val="00A24C17"/>
    <w:rsid w:val="00A52CD3"/>
    <w:rsid w:val="00A6775C"/>
    <w:rsid w:val="00A709D3"/>
    <w:rsid w:val="00AB6D86"/>
    <w:rsid w:val="00AD1F20"/>
    <w:rsid w:val="00AF7972"/>
    <w:rsid w:val="00B51643"/>
    <w:rsid w:val="00C22A7D"/>
    <w:rsid w:val="00C340B4"/>
    <w:rsid w:val="00C74B8B"/>
    <w:rsid w:val="00C844F2"/>
    <w:rsid w:val="00C8706B"/>
    <w:rsid w:val="00CB440E"/>
    <w:rsid w:val="00CC7B2D"/>
    <w:rsid w:val="00D10055"/>
    <w:rsid w:val="00D44B30"/>
    <w:rsid w:val="00D455A5"/>
    <w:rsid w:val="00D61C6B"/>
    <w:rsid w:val="00D94944"/>
    <w:rsid w:val="00D96F56"/>
    <w:rsid w:val="00DD20C1"/>
    <w:rsid w:val="00E24120"/>
    <w:rsid w:val="00E42D0C"/>
    <w:rsid w:val="00E61509"/>
    <w:rsid w:val="00E670F6"/>
    <w:rsid w:val="00E8051A"/>
    <w:rsid w:val="00E86D12"/>
    <w:rsid w:val="00E904A2"/>
    <w:rsid w:val="00EC0063"/>
    <w:rsid w:val="00F52755"/>
    <w:rsid w:val="00F579D7"/>
    <w:rsid w:val="00F62E7E"/>
    <w:rsid w:val="00F82467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58AA"/>
  <w15:chartTrackingRefBased/>
  <w15:docId w15:val="{6C77CBFC-75AA-4357-8063-01B55A6D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1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locked="1" w:uiPriority="45"/>
    <w:lsdException w:name="Grid Table Light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6C"/>
    <w:pPr>
      <w:spacing w:after="0"/>
    </w:pPr>
    <w:rPr>
      <w:rFonts w:ascii="Arial" w:hAnsi="Arial"/>
      <w:sz w:val="20"/>
    </w:rPr>
  </w:style>
  <w:style w:type="paragraph" w:styleId="Balk1">
    <w:name w:val="heading 1"/>
    <w:aliases w:val="Başlık"/>
    <w:basedOn w:val="Normal"/>
    <w:next w:val="Normal"/>
    <w:link w:val="Balk1Char"/>
    <w:autoRedefine/>
    <w:uiPriority w:val="9"/>
    <w:qFormat/>
    <w:rsid w:val="00530B1D"/>
    <w:pPr>
      <w:keepNext/>
      <w:keepLines/>
      <w:spacing w:before="80" w:after="8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aliases w:val="Alt Başlık"/>
    <w:basedOn w:val="Normal"/>
    <w:next w:val="Normal"/>
    <w:link w:val="Balk2Char"/>
    <w:autoRedefine/>
    <w:uiPriority w:val="9"/>
    <w:unhideWhenUsed/>
    <w:qFormat/>
    <w:rsid w:val="00586E6C"/>
    <w:pPr>
      <w:keepNext/>
      <w:keepLines/>
      <w:spacing w:before="60" w:after="120"/>
      <w:ind w:left="284"/>
      <w:outlineLvl w:val="1"/>
    </w:pPr>
    <w:rPr>
      <w:rFonts w:eastAsiaTheme="majorEastAsia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B51643"/>
    <w:pPr>
      <w:keepNext/>
      <w:keepLines/>
      <w:spacing w:after="60"/>
      <w:ind w:left="738" w:hanging="284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51643"/>
    <w:pPr>
      <w:outlineLvl w:val="3"/>
    </w:pPr>
  </w:style>
  <w:style w:type="paragraph" w:styleId="Balk5">
    <w:name w:val="heading 5"/>
    <w:basedOn w:val="Balk4"/>
    <w:next w:val="Normal"/>
    <w:link w:val="Balk5Char"/>
    <w:uiPriority w:val="9"/>
    <w:unhideWhenUsed/>
    <w:rsid w:val="00B51643"/>
    <w:pPr>
      <w:outlineLvl w:val="4"/>
    </w:pPr>
  </w:style>
  <w:style w:type="paragraph" w:styleId="Balk6">
    <w:name w:val="heading 6"/>
    <w:basedOn w:val="Balk5"/>
    <w:next w:val="Normal"/>
    <w:link w:val="Balk6Char"/>
    <w:uiPriority w:val="9"/>
    <w:unhideWhenUsed/>
    <w:rsid w:val="00B51643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rsid w:val="00B51643"/>
    <w:pPr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Alt Başlık Char"/>
    <w:basedOn w:val="VarsaylanParagrafYazTipi"/>
    <w:link w:val="Balk2"/>
    <w:uiPriority w:val="9"/>
    <w:rsid w:val="00586E6C"/>
    <w:rPr>
      <w:rFonts w:ascii="Arial" w:eastAsiaTheme="majorEastAsia" w:hAnsi="Arial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51643"/>
    <w:rPr>
      <w:rFonts w:eastAsiaTheme="majorEastAsia" w:cstheme="majorBidi"/>
      <w:b/>
      <w:sz w:val="20"/>
      <w:szCs w:val="24"/>
    </w:rPr>
  </w:style>
  <w:style w:type="character" w:customStyle="1" w:styleId="Balk1Char">
    <w:name w:val="Başlık 1 Char"/>
    <w:aliases w:val="Başlık Char"/>
    <w:basedOn w:val="VarsaylanParagrafYazTipi"/>
    <w:link w:val="Balk1"/>
    <w:uiPriority w:val="9"/>
    <w:rsid w:val="00530B1D"/>
    <w:rPr>
      <w:rFonts w:ascii="Times New Roman" w:eastAsiaTheme="majorEastAsia" w:hAnsi="Times New Roman" w:cstheme="majorBidi"/>
      <w:b/>
      <w:sz w:val="28"/>
      <w:szCs w:val="32"/>
    </w:rPr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CC7B2D"/>
    <w:pPr>
      <w:spacing w:before="120"/>
      <w:jc w:val="center"/>
    </w:pPr>
    <w:rPr>
      <w:b/>
      <w:sz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7B2D"/>
    <w:rPr>
      <w:b/>
      <w:sz w:val="28"/>
    </w:rPr>
  </w:style>
  <w:style w:type="paragraph" w:styleId="Altyaz">
    <w:name w:val="Subtitle"/>
    <w:basedOn w:val="Normal"/>
    <w:next w:val="Normal"/>
    <w:link w:val="AltyazChar"/>
    <w:autoRedefine/>
    <w:uiPriority w:val="11"/>
    <w:qFormat/>
    <w:rsid w:val="00B5164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B51643"/>
    <w:rPr>
      <w:rFonts w:eastAsiaTheme="minorEastAsia"/>
      <w:color w:val="5A5A5A" w:themeColor="text1" w:themeTint="A5"/>
      <w:spacing w:val="15"/>
      <w:sz w:val="20"/>
    </w:rPr>
  </w:style>
  <w:style w:type="character" w:customStyle="1" w:styleId="Balk4Char">
    <w:name w:val="Başlık 4 Char"/>
    <w:basedOn w:val="VarsaylanParagrafYazTipi"/>
    <w:link w:val="Balk4"/>
    <w:uiPriority w:val="9"/>
    <w:rsid w:val="00B51643"/>
    <w:rPr>
      <w:sz w:val="20"/>
    </w:rPr>
  </w:style>
  <w:style w:type="character" w:customStyle="1" w:styleId="Balk5Char">
    <w:name w:val="Başlık 5 Char"/>
    <w:basedOn w:val="VarsaylanParagrafYazTipi"/>
    <w:link w:val="Balk5"/>
    <w:uiPriority w:val="9"/>
    <w:rsid w:val="00B51643"/>
    <w:rPr>
      <w:sz w:val="20"/>
    </w:rPr>
  </w:style>
  <w:style w:type="character" w:customStyle="1" w:styleId="Balk6Char">
    <w:name w:val="Başlık 6 Char"/>
    <w:basedOn w:val="VarsaylanParagrafYazTipi"/>
    <w:link w:val="Balk6"/>
    <w:uiPriority w:val="9"/>
    <w:rsid w:val="00B51643"/>
    <w:rPr>
      <w:sz w:val="20"/>
    </w:rPr>
  </w:style>
  <w:style w:type="character" w:customStyle="1" w:styleId="Balk7Char">
    <w:name w:val="Başlık 7 Char"/>
    <w:basedOn w:val="VarsaylanParagrafYazTipi"/>
    <w:link w:val="Balk7"/>
    <w:uiPriority w:val="9"/>
    <w:rsid w:val="00B51643"/>
    <w:rPr>
      <w:sz w:val="20"/>
    </w:rPr>
  </w:style>
  <w:style w:type="paragraph" w:styleId="ListeParagraf">
    <w:name w:val="List Paragraph"/>
    <w:basedOn w:val="Normal"/>
    <w:autoRedefine/>
    <w:uiPriority w:val="34"/>
    <w:qFormat/>
    <w:rsid w:val="00CC7B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rsid w:val="00B51643"/>
    <w:rPr>
      <w:i/>
      <w:iCs/>
      <w:color w:val="auto"/>
    </w:rPr>
  </w:style>
  <w:style w:type="character" w:styleId="Vurgu">
    <w:name w:val="Emphasis"/>
    <w:basedOn w:val="VarsaylanParagrafYazTipi"/>
    <w:uiPriority w:val="20"/>
    <w:qFormat/>
    <w:rsid w:val="00B51643"/>
    <w:rPr>
      <w:i/>
      <w:iCs/>
      <w:color w:val="5B9BD5" w:themeColor="accent1"/>
    </w:rPr>
  </w:style>
  <w:style w:type="character" w:styleId="KitapBal">
    <w:name w:val="Book Title"/>
    <w:basedOn w:val="VarsaylanParagrafYazTipi"/>
    <w:uiPriority w:val="32"/>
    <w:qFormat/>
    <w:rsid w:val="00CC7B2D"/>
    <w:rPr>
      <w:rFonts w:asciiTheme="minorHAnsi" w:hAnsiTheme="minorHAnsi"/>
      <w:b/>
      <w:bCs/>
      <w:i w:val="0"/>
      <w:iCs/>
      <w:spacing w:val="5"/>
      <w:sz w:val="20"/>
    </w:rPr>
  </w:style>
  <w:style w:type="paragraph" w:styleId="Dzeltme">
    <w:name w:val="Revision"/>
    <w:hidden/>
    <w:uiPriority w:val="99"/>
    <w:semiHidden/>
    <w:rsid w:val="00DD20C1"/>
    <w:pPr>
      <w:spacing w:after="0"/>
    </w:pPr>
    <w:rPr>
      <w:rFonts w:ascii="Arial" w:hAnsi="Arial"/>
      <w:sz w:val="20"/>
    </w:rPr>
  </w:style>
  <w:style w:type="table" w:styleId="TabloKlavuzu">
    <w:name w:val="Table Grid"/>
    <w:basedOn w:val="NormalTablo"/>
    <w:rsid w:val="00AB6D86"/>
    <w:pPr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6D86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154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548"/>
    <w:rPr>
      <w:rFonts w:ascii="Arial" w:hAnsi="Arial"/>
      <w:sz w:val="20"/>
    </w:rPr>
  </w:style>
  <w:style w:type="character" w:styleId="SayfaNumaras">
    <w:name w:val="page number"/>
    <w:basedOn w:val="VarsaylanParagrafYazTipi"/>
    <w:uiPriority w:val="99"/>
    <w:semiHidden/>
    <w:unhideWhenUsed/>
    <w:rsid w:val="002A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USLU</dc:creator>
  <cp:keywords/>
  <dc:description/>
  <cp:lastModifiedBy>Altuğ Yavaşoğlu</cp:lastModifiedBy>
  <cp:revision>35</cp:revision>
  <dcterms:created xsi:type="dcterms:W3CDTF">2025-03-28T10:17:00Z</dcterms:created>
  <dcterms:modified xsi:type="dcterms:W3CDTF">2025-04-30T12:44:00Z</dcterms:modified>
</cp:coreProperties>
</file>